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7FB0E" w14:textId="77777777" w:rsidR="00922E02" w:rsidRPr="00467E09" w:rsidRDefault="00922E02" w:rsidP="00922E02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467E09">
        <w:rPr>
          <w:rFonts w:ascii="Book Antiqua" w:hAnsi="Book Antiqua" w:cstheme="minorHAnsi"/>
          <w:b/>
          <w:sz w:val="28"/>
          <w:szCs w:val="24"/>
        </w:rPr>
        <w:t>Vertiente 1: Principios</w:t>
      </w:r>
    </w:p>
    <w:p w14:paraId="3580046F" w14:textId="5D7FB9FA" w:rsidR="00B47BC6" w:rsidRPr="00D06BCB" w:rsidRDefault="00C4133B" w:rsidP="00D06BCB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D06BCB">
        <w:rPr>
          <w:rFonts w:ascii="Book Antiqua" w:hAnsi="Book Antiqua" w:cstheme="minorHAnsi"/>
          <w:b/>
          <w:sz w:val="28"/>
          <w:szCs w:val="24"/>
        </w:rPr>
        <w:t xml:space="preserve">Variable y formato </w:t>
      </w:r>
      <w:r w:rsidR="009970C0" w:rsidRPr="00D06BCB">
        <w:rPr>
          <w:rFonts w:ascii="Book Antiqua" w:hAnsi="Book Antiqua" w:cstheme="minorHAnsi"/>
          <w:b/>
          <w:sz w:val="28"/>
          <w:szCs w:val="24"/>
        </w:rPr>
        <w:t>1.2</w:t>
      </w:r>
      <w:r w:rsidR="00B47BC6" w:rsidRPr="00D06BCB">
        <w:rPr>
          <w:rFonts w:ascii="Book Antiqua" w:hAnsi="Book Antiqua" w:cstheme="minorHAnsi"/>
          <w:b/>
          <w:sz w:val="28"/>
          <w:szCs w:val="24"/>
        </w:rPr>
        <w:t xml:space="preserve"> Mecanismos para acreditar el cumplimiento de principios, deberes y obligaciones</w:t>
      </w:r>
      <w:r w:rsidR="009970C0" w:rsidRPr="00D06BCB">
        <w:rPr>
          <w:rFonts w:ascii="Book Antiqua" w:hAnsi="Book Antiqua" w:cstheme="minorHAnsi"/>
          <w:b/>
          <w:sz w:val="28"/>
          <w:szCs w:val="24"/>
        </w:rPr>
        <w:t xml:space="preserve"> de la Ley General y demás disposiciones aplicables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3446"/>
      </w:tblGrid>
      <w:tr w:rsidR="00B47BC6" w:rsidRPr="007A74E2" w14:paraId="448DEF01" w14:textId="77777777" w:rsidTr="009F206F">
        <w:trPr>
          <w:trHeight w:val="655"/>
        </w:trPr>
        <w:tc>
          <w:tcPr>
            <w:tcW w:w="5382" w:type="dxa"/>
            <w:gridSpan w:val="2"/>
            <w:vAlign w:val="center"/>
          </w:tcPr>
          <w:p w14:paraId="0B36E886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31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446" w:type="dxa"/>
            <w:vAlign w:val="center"/>
          </w:tcPr>
          <w:p w14:paraId="54831A1F" w14:textId="2349A088" w:rsidR="00B47BC6" w:rsidRPr="007A74E2" w:rsidRDefault="00B47BC6" w:rsidP="000E760C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DC3CAC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0E760C">
              <w:rPr>
                <w:rFonts w:ascii="Book Antiqua" w:hAnsi="Book Antiqua" w:cstheme="minorHAnsi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4F4EA875" w14:textId="77777777" w:rsidTr="009F206F">
        <w:trPr>
          <w:trHeight w:val="467"/>
        </w:trPr>
        <w:tc>
          <w:tcPr>
            <w:tcW w:w="5382" w:type="dxa"/>
            <w:gridSpan w:val="2"/>
            <w:vAlign w:val="center"/>
          </w:tcPr>
          <w:p w14:paraId="076188A6" w14:textId="5E286A17" w:rsidR="0045119D" w:rsidRPr="000A7208" w:rsidRDefault="0045119D" w:rsidP="000A7208">
            <w:pPr>
              <w:spacing w:line="240" w:lineRule="atLeast"/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446" w:type="dxa"/>
            <w:vAlign w:val="center"/>
          </w:tcPr>
          <w:p w14:paraId="43C3F304" w14:textId="73C1CA3F" w:rsidR="0045119D" w:rsidRPr="007A74E2" w:rsidRDefault="0045119D" w:rsidP="00F97ADF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F97ADF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74F54CB4" w14:textId="77777777" w:rsidTr="009F206F">
        <w:trPr>
          <w:trHeight w:val="417"/>
        </w:trPr>
        <w:tc>
          <w:tcPr>
            <w:tcW w:w="5382" w:type="dxa"/>
            <w:gridSpan w:val="2"/>
            <w:vAlign w:val="center"/>
          </w:tcPr>
          <w:p w14:paraId="631FE6CE" w14:textId="59FAFA5B" w:rsidR="0045119D" w:rsidRPr="007A74E2" w:rsidRDefault="0045119D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446" w:type="dxa"/>
            <w:vAlign w:val="center"/>
          </w:tcPr>
          <w:p w14:paraId="59E6591B" w14:textId="02DB2741" w:rsidR="0045119D" w:rsidRPr="007A74E2" w:rsidRDefault="0045119D" w:rsidP="000E760C">
            <w:pPr>
              <w:spacing w:line="240" w:lineRule="atLeast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B335D7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75815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F75815">
              <w:rPr>
                <w:rFonts w:ascii="Book Antiqua" w:hAnsi="Book Antiqua" w:cs="Arial"/>
                <w:sz w:val="24"/>
                <w:szCs w:val="24"/>
              </w:rPr>
              <w:t>7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DC3CA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0E760C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B47BC6" w:rsidRPr="007A74E2" w14:paraId="1AE00C98" w14:textId="77777777" w:rsidTr="00922E02">
        <w:trPr>
          <w:trHeight w:val="413"/>
        </w:trPr>
        <w:tc>
          <w:tcPr>
            <w:tcW w:w="562" w:type="dxa"/>
            <w:vAlign w:val="center"/>
          </w:tcPr>
          <w:p w14:paraId="1416C7BE" w14:textId="77777777" w:rsidR="00B47BC6" w:rsidRPr="007A74E2" w:rsidRDefault="00B47BC6" w:rsidP="000A7208">
            <w:pPr>
              <w:spacing w:line="240" w:lineRule="atLeast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820" w:type="dxa"/>
            <w:vAlign w:val="center"/>
          </w:tcPr>
          <w:p w14:paraId="48F97759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446" w:type="dxa"/>
            <w:vAlign w:val="center"/>
          </w:tcPr>
          <w:p w14:paraId="25647B6F" w14:textId="77777777" w:rsidR="00B47BC6" w:rsidRPr="007A74E2" w:rsidRDefault="00B47BC6" w:rsidP="000A7208">
            <w:pPr>
              <w:spacing w:line="240" w:lineRule="atLeast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1C9E3370" w14:textId="77777777" w:rsidTr="009F206F">
        <w:trPr>
          <w:trHeight w:val="1409"/>
        </w:trPr>
        <w:tc>
          <w:tcPr>
            <w:tcW w:w="562" w:type="dxa"/>
            <w:vAlign w:val="center"/>
          </w:tcPr>
          <w:p w14:paraId="204FF0B2" w14:textId="77777777" w:rsidR="00656746" w:rsidRPr="007A74E2" w:rsidRDefault="00656746" w:rsidP="00656746">
            <w:pPr>
              <w:spacing w:after="160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35D1AF76" w14:textId="5B8EB4B0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Oficio o instrumento a través del cual se autoriza el destino de recursos para la instrumentación de programas y políticas de protección de datos personales</w:t>
            </w:r>
          </w:p>
        </w:tc>
        <w:tc>
          <w:tcPr>
            <w:tcW w:w="3446" w:type="dxa"/>
            <w:vAlign w:val="center"/>
          </w:tcPr>
          <w:p w14:paraId="484510B1" w14:textId="4CC9F429" w:rsidR="00372381" w:rsidRPr="007A74E2" w:rsidRDefault="00F75815" w:rsidP="00922E02">
            <w:pPr>
              <w:spacing w:after="160" w:line="312" w:lineRule="auto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Pr="00F75815">
                <w:rPr>
                  <w:rStyle w:val="Hipervnculo"/>
                </w:rPr>
                <w:t>https://transparencia.movimientociudadano.mx/sites/default/files/oficio_destino_de_los_recursos_2025.pdf</w:t>
              </w:r>
            </w:hyperlink>
          </w:p>
        </w:tc>
      </w:tr>
      <w:tr w:rsidR="00656746" w:rsidRPr="007A74E2" w14:paraId="3CFFFC32" w14:textId="77777777" w:rsidTr="001A04FD">
        <w:trPr>
          <w:trHeight w:val="757"/>
        </w:trPr>
        <w:tc>
          <w:tcPr>
            <w:tcW w:w="562" w:type="dxa"/>
            <w:vAlign w:val="center"/>
          </w:tcPr>
          <w:p w14:paraId="7C28210E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2A892055" w14:textId="58BDBFB3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o política de protección de datos personales</w:t>
            </w:r>
          </w:p>
        </w:tc>
        <w:tc>
          <w:tcPr>
            <w:tcW w:w="3446" w:type="dxa"/>
            <w:vAlign w:val="center"/>
          </w:tcPr>
          <w:p w14:paraId="69AA154C" w14:textId="77BF3191" w:rsidR="005A7C13" w:rsidRPr="00570813" w:rsidRDefault="00F75815" w:rsidP="002C6D84">
            <w:pPr>
              <w:jc w:val="center"/>
              <w:rPr>
                <w:rFonts w:asciiTheme="majorHAnsi" w:hAnsiTheme="majorHAnsi" w:cstheme="majorHAnsi"/>
                <w:color w:val="D60093" w:themeColor="hyperlink"/>
                <w:sz w:val="24"/>
                <w:szCs w:val="24"/>
                <w:u w:val="single"/>
              </w:rPr>
            </w:pPr>
            <w:hyperlink r:id="rId8" w:history="1">
              <w:r w:rsidRPr="00F75815">
                <w:rPr>
                  <w:rStyle w:val="Hipervnculo"/>
                </w:rPr>
                <w:t>https://transparencia.movimientociudadano.mx/sites/default/files/programa_de_proteccion_de_datos_personales_mc2025_0.pdf</w:t>
              </w:r>
            </w:hyperlink>
          </w:p>
        </w:tc>
      </w:tr>
      <w:tr w:rsidR="00656746" w:rsidRPr="007A74E2" w14:paraId="77072D13" w14:textId="77777777" w:rsidTr="009F206F">
        <w:trPr>
          <w:trHeight w:val="1428"/>
        </w:trPr>
        <w:tc>
          <w:tcPr>
            <w:tcW w:w="562" w:type="dxa"/>
            <w:vAlign w:val="center"/>
          </w:tcPr>
          <w:p w14:paraId="437AE01B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5BF452C2" w14:textId="225C6F75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programa de capacitación de protección de datos personales</w:t>
            </w:r>
          </w:p>
        </w:tc>
        <w:tc>
          <w:tcPr>
            <w:tcW w:w="3446" w:type="dxa"/>
            <w:vAlign w:val="center"/>
          </w:tcPr>
          <w:p w14:paraId="4717CC58" w14:textId="15107263" w:rsidR="00656746" w:rsidRPr="00D06BCB" w:rsidRDefault="009F206F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9" w:history="1">
              <w:r w:rsidRPr="009F206F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https://transparencia.movimientociudadano.mx/sites/default/files/programa_de_capacitacion_de_dp2025_0.pdf</w:t>
              </w:r>
            </w:hyperlink>
          </w:p>
        </w:tc>
      </w:tr>
      <w:tr w:rsidR="00656746" w:rsidRPr="007A74E2" w14:paraId="27F87A61" w14:textId="77777777" w:rsidTr="009F206F">
        <w:trPr>
          <w:trHeight w:val="1410"/>
        </w:trPr>
        <w:tc>
          <w:tcPr>
            <w:tcW w:w="562" w:type="dxa"/>
            <w:vAlign w:val="center"/>
          </w:tcPr>
          <w:p w14:paraId="69591B5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1A7A2EDF" w14:textId="7E5BBA7D" w:rsidR="00656746" w:rsidRPr="007A74E2" w:rsidRDefault="00656746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en el cual se especifiquen los sistemas de supervisión y vigilancia</w:t>
            </w:r>
          </w:p>
        </w:tc>
        <w:tc>
          <w:tcPr>
            <w:tcW w:w="3446" w:type="dxa"/>
            <w:vAlign w:val="center"/>
          </w:tcPr>
          <w:p w14:paraId="5C64F42E" w14:textId="012FBC1D" w:rsidR="002A78D1" w:rsidRPr="002A78D1" w:rsidRDefault="009F206F" w:rsidP="00922E02">
            <w:pPr>
              <w:spacing w:after="160" w:line="312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hyperlink r:id="rId10" w:history="1">
              <w:r w:rsidRPr="009F206F">
                <w:rPr>
                  <w:rStyle w:val="Hipervnculo"/>
                  <w:rFonts w:ascii="Book Antiqua" w:hAnsi="Book Antiqua" w:cs="Arial"/>
                  <w:sz w:val="24"/>
                  <w:szCs w:val="24"/>
                </w:rPr>
                <w:t>https://transparencia.movimientociudadano.mx/sites/default/files/lineamientos_de_datos_personales_mcmayo25.pdf</w:t>
              </w:r>
            </w:hyperlink>
          </w:p>
        </w:tc>
      </w:tr>
      <w:tr w:rsidR="00656746" w:rsidRPr="007A74E2" w14:paraId="3DAF1D28" w14:textId="77777777" w:rsidTr="009F206F">
        <w:trPr>
          <w:trHeight w:val="1803"/>
        </w:trPr>
        <w:tc>
          <w:tcPr>
            <w:tcW w:w="562" w:type="dxa"/>
            <w:vAlign w:val="center"/>
          </w:tcPr>
          <w:p w14:paraId="027BA3C6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5C468FCF" w14:textId="5E660F9B" w:rsidR="00656746" w:rsidRPr="007A74E2" w:rsidRDefault="005A1EC6" w:rsidP="00922E02">
            <w:pPr>
              <w:spacing w:after="160" w:line="312" w:lineRule="auto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Hipervínculo al documento en el cual el responsable establece el procedimiento</w:t>
            </w:r>
            <w:r w:rsidR="00656746" w:rsidRPr="007A74E2">
              <w:rPr>
                <w:rFonts w:ascii="Book Antiqua" w:hAnsi="Book Antiqua" w:cs="Arial"/>
                <w:sz w:val="24"/>
                <w:szCs w:val="24"/>
              </w:rPr>
              <w:t xml:space="preserve"> para la recepción y respuesta de dudas</w:t>
            </w:r>
            <w:r w:rsidR="005559A9" w:rsidRPr="007A74E2">
              <w:rPr>
                <w:rFonts w:ascii="Book Antiqua" w:hAnsi="Book Antiqua" w:cs="Arial"/>
                <w:sz w:val="24"/>
                <w:szCs w:val="24"/>
              </w:rPr>
              <w:t>,</w:t>
            </w:r>
            <w:r w:rsidR="00656746" w:rsidRPr="007A74E2">
              <w:rPr>
                <w:rFonts w:ascii="Book Antiqua" w:hAnsi="Book Antiqua" w:cs="Arial"/>
                <w:sz w:val="24"/>
                <w:szCs w:val="24"/>
              </w:rPr>
              <w:t xml:space="preserve"> y quejas de los titulares en materia de protección de datos personales</w:t>
            </w:r>
          </w:p>
        </w:tc>
        <w:tc>
          <w:tcPr>
            <w:tcW w:w="3446" w:type="dxa"/>
            <w:vAlign w:val="center"/>
          </w:tcPr>
          <w:p w14:paraId="1A07F0D7" w14:textId="2673DBF5" w:rsidR="00656746" w:rsidRPr="00D06BCB" w:rsidRDefault="009F206F" w:rsidP="00922E02">
            <w:pPr>
              <w:spacing w:after="160"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11" w:history="1">
              <w:r w:rsidRPr="009F206F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https://transparencia.movimientociudadano.mx/sites/default/files/procedimiento_dudas_y_quejas_del_titular_2025_0.pdf</w:t>
              </w:r>
            </w:hyperlink>
          </w:p>
        </w:tc>
      </w:tr>
      <w:bookmarkEnd w:id="0"/>
    </w:tbl>
    <w:p w14:paraId="5FE38979" w14:textId="77777777" w:rsidR="00B47BC6" w:rsidRPr="007A74E2" w:rsidRDefault="00B47BC6" w:rsidP="009F206F">
      <w:pPr>
        <w:rPr>
          <w:rFonts w:ascii="Book Antiqua" w:hAnsi="Book Antiqua" w:cstheme="minorHAnsi"/>
          <w:b/>
          <w:sz w:val="24"/>
          <w:szCs w:val="24"/>
        </w:rPr>
      </w:pPr>
    </w:p>
    <w:sectPr w:rsidR="00B47BC6" w:rsidRPr="007A74E2" w:rsidSect="00922E02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AB4E4" w14:textId="77777777" w:rsidR="00A86D3A" w:rsidRDefault="00A86D3A" w:rsidP="00CE0B13">
      <w:pPr>
        <w:spacing w:line="240" w:lineRule="auto"/>
      </w:pPr>
      <w:r>
        <w:separator/>
      </w:r>
    </w:p>
  </w:endnote>
  <w:endnote w:type="continuationSeparator" w:id="0">
    <w:p w14:paraId="0CA7F96D" w14:textId="77777777" w:rsidR="00A86D3A" w:rsidRDefault="00A86D3A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9333" w14:textId="77777777" w:rsidR="00A86D3A" w:rsidRDefault="00A86D3A" w:rsidP="00CE0B13">
      <w:pPr>
        <w:spacing w:line="240" w:lineRule="auto"/>
      </w:pPr>
      <w:r>
        <w:separator/>
      </w:r>
    </w:p>
  </w:footnote>
  <w:footnote w:type="continuationSeparator" w:id="0">
    <w:p w14:paraId="15E7613F" w14:textId="77777777" w:rsidR="00A86D3A" w:rsidRDefault="00A86D3A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23F08"/>
    <w:rsid w:val="00052B86"/>
    <w:rsid w:val="000773D5"/>
    <w:rsid w:val="00081F98"/>
    <w:rsid w:val="000871C8"/>
    <w:rsid w:val="000908B7"/>
    <w:rsid w:val="000A7208"/>
    <w:rsid w:val="000C1212"/>
    <w:rsid w:val="000D1510"/>
    <w:rsid w:val="000E760C"/>
    <w:rsid w:val="000E7C63"/>
    <w:rsid w:val="00101E1E"/>
    <w:rsid w:val="001571B7"/>
    <w:rsid w:val="0017219C"/>
    <w:rsid w:val="001A04FD"/>
    <w:rsid w:val="001D0B90"/>
    <w:rsid w:val="001D4F78"/>
    <w:rsid w:val="00212724"/>
    <w:rsid w:val="00244E29"/>
    <w:rsid w:val="002A78D1"/>
    <w:rsid w:val="002C6D84"/>
    <w:rsid w:val="002E724E"/>
    <w:rsid w:val="00320CFA"/>
    <w:rsid w:val="00372381"/>
    <w:rsid w:val="003A194D"/>
    <w:rsid w:val="003D6CEF"/>
    <w:rsid w:val="003F45FB"/>
    <w:rsid w:val="00405DC6"/>
    <w:rsid w:val="00433C0F"/>
    <w:rsid w:val="004418ED"/>
    <w:rsid w:val="0045119D"/>
    <w:rsid w:val="004725A4"/>
    <w:rsid w:val="0048559B"/>
    <w:rsid w:val="004A7AE2"/>
    <w:rsid w:val="004E76EE"/>
    <w:rsid w:val="005559A9"/>
    <w:rsid w:val="005602F1"/>
    <w:rsid w:val="00570813"/>
    <w:rsid w:val="005953F7"/>
    <w:rsid w:val="005A1EC6"/>
    <w:rsid w:val="005A7C13"/>
    <w:rsid w:val="005B353F"/>
    <w:rsid w:val="005D30DE"/>
    <w:rsid w:val="00600DB1"/>
    <w:rsid w:val="00605124"/>
    <w:rsid w:val="006427FC"/>
    <w:rsid w:val="00642A21"/>
    <w:rsid w:val="00646A94"/>
    <w:rsid w:val="00656746"/>
    <w:rsid w:val="00667D24"/>
    <w:rsid w:val="006E4424"/>
    <w:rsid w:val="00701375"/>
    <w:rsid w:val="00717B6E"/>
    <w:rsid w:val="00726F39"/>
    <w:rsid w:val="00754D74"/>
    <w:rsid w:val="00757846"/>
    <w:rsid w:val="0077360A"/>
    <w:rsid w:val="007751D2"/>
    <w:rsid w:val="007A74E2"/>
    <w:rsid w:val="007C62FC"/>
    <w:rsid w:val="007E0029"/>
    <w:rsid w:val="00803075"/>
    <w:rsid w:val="008046B0"/>
    <w:rsid w:val="00832D31"/>
    <w:rsid w:val="008363E9"/>
    <w:rsid w:val="00855E78"/>
    <w:rsid w:val="00863039"/>
    <w:rsid w:val="00871F2F"/>
    <w:rsid w:val="008762E2"/>
    <w:rsid w:val="00881274"/>
    <w:rsid w:val="008942D9"/>
    <w:rsid w:val="008F68F4"/>
    <w:rsid w:val="009059D9"/>
    <w:rsid w:val="00922E02"/>
    <w:rsid w:val="00947319"/>
    <w:rsid w:val="0096084F"/>
    <w:rsid w:val="009928B5"/>
    <w:rsid w:val="009970C0"/>
    <w:rsid w:val="009F206F"/>
    <w:rsid w:val="009F6D26"/>
    <w:rsid w:val="00A461A9"/>
    <w:rsid w:val="00A66259"/>
    <w:rsid w:val="00A771D0"/>
    <w:rsid w:val="00A86D3A"/>
    <w:rsid w:val="00AA7B41"/>
    <w:rsid w:val="00AB1BAA"/>
    <w:rsid w:val="00AD42F0"/>
    <w:rsid w:val="00B0226C"/>
    <w:rsid w:val="00B10CB8"/>
    <w:rsid w:val="00B335D7"/>
    <w:rsid w:val="00B43E2B"/>
    <w:rsid w:val="00B47BC6"/>
    <w:rsid w:val="00B56B30"/>
    <w:rsid w:val="00B56CEB"/>
    <w:rsid w:val="00B77E1E"/>
    <w:rsid w:val="00BA7F4F"/>
    <w:rsid w:val="00BC6518"/>
    <w:rsid w:val="00C14443"/>
    <w:rsid w:val="00C4133B"/>
    <w:rsid w:val="00C87C6E"/>
    <w:rsid w:val="00CA45EA"/>
    <w:rsid w:val="00CD2FD4"/>
    <w:rsid w:val="00CE0B13"/>
    <w:rsid w:val="00CE476C"/>
    <w:rsid w:val="00CF548C"/>
    <w:rsid w:val="00D06BCB"/>
    <w:rsid w:val="00D50661"/>
    <w:rsid w:val="00D833A2"/>
    <w:rsid w:val="00DA6F4D"/>
    <w:rsid w:val="00DB7C3C"/>
    <w:rsid w:val="00DC3CAC"/>
    <w:rsid w:val="00DD7915"/>
    <w:rsid w:val="00DE7E00"/>
    <w:rsid w:val="00E06E39"/>
    <w:rsid w:val="00E15356"/>
    <w:rsid w:val="00E262C6"/>
    <w:rsid w:val="00E5584D"/>
    <w:rsid w:val="00E60222"/>
    <w:rsid w:val="00E70A5D"/>
    <w:rsid w:val="00F12E2D"/>
    <w:rsid w:val="00F414DE"/>
    <w:rsid w:val="00F71B78"/>
    <w:rsid w:val="00F75815"/>
    <w:rsid w:val="00F85FC7"/>
    <w:rsid w:val="00F87E8B"/>
    <w:rsid w:val="00F97ADF"/>
    <w:rsid w:val="00FA5E9D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F5CDEDFB-0657-4BC2-B238-8D9FCA83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A7C13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6CEB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581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F206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206F"/>
  </w:style>
  <w:style w:type="paragraph" w:styleId="Piedepgina">
    <w:name w:val="footer"/>
    <w:basedOn w:val="Normal"/>
    <w:link w:val="PiedepginaCar"/>
    <w:uiPriority w:val="99"/>
    <w:unhideWhenUsed/>
    <w:rsid w:val="009F206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sites/default/files/programa_de_proteccion_de_datos_personales_mc2025_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parencia.movimientociudadano.mx/sites/default/files/oficio_destino_de_los_recursos_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ransparencia.movimientociudadano.mx/sites/default/files/procedimiento_dudas_y_quejas_del_titular_2025_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ransparencia.movimientociudadano.mx/sites/default/files/lineamientos_de_datos_personales_mcmayo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ovimientociudadano.mx/sites/default/files/programa_de_capacitacion_de_dp2025_0.pdf" TargetMode="Externa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54C3-B31E-41E0-8002-11C898EE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17</cp:revision>
  <dcterms:created xsi:type="dcterms:W3CDTF">2022-04-05T18:35:00Z</dcterms:created>
  <dcterms:modified xsi:type="dcterms:W3CDTF">2025-07-03T17:53:00Z</dcterms:modified>
</cp:coreProperties>
</file>